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hint="eastAsia" w:ascii="微软雅黑" w:hAnsi="微软雅黑" w:eastAsia="微软雅黑" w:cs="微软雅黑"/>
          <w:b w:val="0"/>
          <w:bCs w:val="0"/>
          <w:color w:val="1966A7"/>
          <w:kern w:val="0"/>
          <w:sz w:val="30"/>
          <w:szCs w:val="30"/>
          <w:lang w:bidi="ar"/>
        </w:rPr>
      </w:pPr>
      <w:bookmarkStart w:id="0" w:name="_GoBack"/>
      <w:bookmarkEnd w:id="0"/>
    </w:p>
    <w:p>
      <w:pPr>
        <w:widowControl/>
        <w:spacing w:line="525" w:lineRule="atLeast"/>
        <w:jc w:val="center"/>
        <w:rPr>
          <w:rFonts w:hint="eastAsia" w:ascii="微软雅黑" w:hAnsi="微软雅黑" w:eastAsia="微软雅黑" w:cs="微软雅黑"/>
          <w:b w:val="0"/>
          <w:bCs w:val="0"/>
          <w:color w:val="1966A7"/>
          <w:kern w:val="0"/>
          <w:sz w:val="30"/>
          <w:szCs w:val="30"/>
          <w:lang w:bidi="ar"/>
        </w:rPr>
      </w:pPr>
    </w:p>
    <w:p>
      <w:pPr>
        <w:widowControl/>
        <w:spacing w:line="525" w:lineRule="atLeast"/>
        <w:jc w:val="center"/>
        <w:rPr>
          <w:rFonts w:ascii="微软雅黑" w:hAnsi="微软雅黑" w:eastAsia="微软雅黑" w:cs="微软雅黑"/>
          <w:b w:val="0"/>
          <w:bCs w:val="0"/>
          <w:color w:val="1966A7"/>
          <w:sz w:val="30"/>
          <w:szCs w:val="30"/>
        </w:rPr>
      </w:pPr>
      <w:r>
        <w:rPr>
          <w:rFonts w:hint="eastAsia" w:ascii="微软雅黑" w:hAnsi="微软雅黑" w:eastAsia="微软雅黑" w:cs="微软雅黑"/>
          <w:b w:val="0"/>
          <w:bCs w:val="0"/>
          <w:color w:val="1966A7"/>
          <w:kern w:val="0"/>
          <w:sz w:val="30"/>
          <w:szCs w:val="30"/>
          <w:lang w:bidi="ar"/>
        </w:rPr>
        <w:t>关于印发涉及人的生命科学和医学研究伦理审查办法的通知</w:t>
      </w:r>
    </w:p>
    <w:p>
      <w:pPr>
        <w:widowControl/>
        <w:pBdr>
          <w:bottom w:val="single" w:color="E5E5E5" w:sz="6" w:space="0"/>
        </w:pBdr>
        <w:jc w:val="center"/>
        <w:rPr>
          <w:rFonts w:ascii="微软雅黑" w:hAnsi="微软雅黑" w:eastAsia="微软雅黑" w:cs="微软雅黑"/>
          <w:b w:val="0"/>
          <w:bCs w:val="0"/>
          <w:color w:val="484848"/>
          <w:szCs w:val="21"/>
        </w:rPr>
      </w:pPr>
      <w:r>
        <w:rPr>
          <w:rFonts w:hint="eastAsia" w:ascii="微软雅黑" w:hAnsi="微软雅黑" w:eastAsia="微软雅黑" w:cs="微软雅黑"/>
          <w:b w:val="0"/>
          <w:bCs w:val="0"/>
          <w:color w:val="484848"/>
          <w:szCs w:val="21"/>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b w:val="0"/>
          <w:bCs w:val="0"/>
          <w:color w:val="484848"/>
          <w:szCs w:val="21"/>
        </w:rPr>
        <w:drawing>
          <wp:inline distT="0" distB="0" distL="114300" distR="114300">
            <wp:extent cx="228600" cy="22860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b w:val="0"/>
          <w:bCs w:val="0"/>
          <w:color w:val="484848"/>
          <w:szCs w:val="21"/>
        </w:rPr>
        <w:drawing>
          <wp:inline distT="0" distB="0" distL="114300" distR="114300">
            <wp:extent cx="219075" cy="228600"/>
            <wp:effectExtent l="0" t="0" r="9525" b="0"/>
            <wp:docPr id="3"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widowControl/>
        <w:pBdr>
          <w:bottom w:val="single" w:color="E5E5E5" w:sz="6" w:space="0"/>
        </w:pBdr>
        <w:spacing w:before="270"/>
        <w:jc w:val="center"/>
        <w:rPr>
          <w:rFonts w:ascii="微软雅黑" w:hAnsi="微软雅黑" w:eastAsia="微软雅黑" w:cs="微软雅黑"/>
          <w:b w:val="0"/>
          <w:bCs w:val="0"/>
          <w:color w:val="484848"/>
          <w:szCs w:val="21"/>
        </w:rPr>
      </w:pPr>
      <w:r>
        <w:rPr>
          <w:rFonts w:hint="eastAsia" w:ascii="微软雅黑" w:hAnsi="微软雅黑" w:eastAsia="微软雅黑" w:cs="微软雅黑"/>
          <w:b w:val="0"/>
          <w:bCs w:val="0"/>
          <w:color w:val="979797"/>
          <w:kern w:val="0"/>
          <w:szCs w:val="21"/>
          <w:lang w:bidi="ar"/>
        </w:rPr>
        <w:t>发布时间： 2023-02-27 来源: 科技教育司</w:t>
      </w:r>
    </w:p>
    <w:p>
      <w:pPr>
        <w:pStyle w:val="3"/>
        <w:widowControl/>
        <w:spacing w:beforeAutospacing="0" w:afterAutospacing="0" w:line="23" w:lineRule="atLeast"/>
        <w:jc w:val="center"/>
        <w:rPr>
          <w:rFonts w:hint="eastAsia" w:ascii="仿宋" w:hAnsi="仿宋" w:eastAsia="仿宋" w:cs="仿宋"/>
          <w:b w:val="0"/>
          <w:bCs w:val="0"/>
          <w:color w:val="484848"/>
          <w:sz w:val="28"/>
          <w:szCs w:val="28"/>
        </w:rPr>
      </w:pPr>
    </w:p>
    <w:p>
      <w:pPr>
        <w:pStyle w:val="3"/>
        <w:widowControl/>
        <w:spacing w:beforeAutospacing="0" w:afterAutospacing="0" w:line="23" w:lineRule="atLeast"/>
        <w:jc w:val="center"/>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国卫科教发〔2023〕4号</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p>
    <w:p>
      <w:pPr>
        <w:pStyle w:val="3"/>
        <w:widowControl/>
        <w:spacing w:beforeAutospacing="0" w:afterAutospacing="0" w:line="23" w:lineRule="atLeast"/>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各省、自治区、直辖市人民政府，国务院各部委、各直属机构，中国科学技术协会：</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《涉及人的生命科学和医学研究伦理审查办法》已经国家科技伦理委员会审议通过。经国务院同意，现印发给你们，请结合工作实际，认真组织实施。</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right"/>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国家卫生健康委       教育部</w:t>
      </w:r>
    </w:p>
    <w:p>
      <w:pPr>
        <w:pStyle w:val="3"/>
        <w:widowControl/>
        <w:spacing w:beforeAutospacing="0" w:afterAutospacing="0" w:line="23" w:lineRule="atLeast"/>
        <w:ind w:firstLine="420"/>
        <w:jc w:val="right"/>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科技部         国家中医药局</w:t>
      </w:r>
    </w:p>
    <w:p>
      <w:pPr>
        <w:pStyle w:val="3"/>
        <w:widowControl/>
        <w:spacing w:beforeAutospacing="0" w:afterAutospacing="0" w:line="23" w:lineRule="atLeast"/>
        <w:ind w:firstLine="420"/>
        <w:jc w:val="right"/>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2023年2月18日 </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（信息公开形式：主动公开）</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p>
    <w:p>
      <w:pPr>
        <w:pStyle w:val="3"/>
        <w:widowControl/>
        <w:spacing w:beforeAutospacing="0" w:afterAutospacing="0" w:line="23" w:lineRule="atLeast"/>
        <w:ind w:firstLine="420"/>
        <w:jc w:val="center"/>
        <w:rPr>
          <w:rFonts w:ascii="仿宋" w:hAnsi="仿宋" w:eastAsia="仿宋" w:cs="仿宋"/>
          <w:b w:val="0"/>
          <w:bCs w:val="0"/>
          <w:color w:val="484848"/>
          <w:sz w:val="28"/>
          <w:szCs w:val="28"/>
        </w:rPr>
      </w:pPr>
      <w:r>
        <w:rPr>
          <w:rFonts w:hint="eastAsia" w:ascii="微软雅黑" w:hAnsi="微软雅黑" w:eastAsia="微软雅黑" w:cs="微软雅黑"/>
          <w:b w:val="0"/>
          <w:bCs w:val="0"/>
          <w:color w:val="484848"/>
          <w:sz w:val="28"/>
          <w:szCs w:val="28"/>
        </w:rPr>
        <w:t>涉及人的生命科学和医学研究伦理审查办法</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center"/>
        <w:rPr>
          <w:rFonts w:ascii="仿宋" w:hAnsi="仿宋" w:eastAsia="仿宋" w:cs="仿宋"/>
          <w:b w:val="0"/>
          <w:bCs w:val="0"/>
          <w:color w:val="484848"/>
          <w:sz w:val="28"/>
          <w:szCs w:val="28"/>
        </w:rPr>
      </w:pPr>
      <w:r>
        <w:rPr>
          <w:rFonts w:hint="eastAsia" w:ascii="微软雅黑" w:hAnsi="微软雅黑" w:eastAsia="微软雅黑" w:cs="微软雅黑"/>
          <w:b w:val="0"/>
          <w:bCs w:val="0"/>
          <w:color w:val="484848"/>
          <w:sz w:val="28"/>
          <w:szCs w:val="28"/>
        </w:rPr>
        <w:t>第一章  总 则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一条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第二条  本办法适用于在中华人民共和国境内的医疗卫生机构、高等学校、科研院所等开展涉及人的生命科学和医学研究伦理审查工作。</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第三条  本办法所称涉及人的生命科学和医学研究是指以人为受试者或者使用人（统称研究参与者）的生物样本、信息数据（包括健康记录、行为等）开展的以下研究活动：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（一）采用物理学、化学、生物学、中医药学等方法对人的生殖、生长、发育、衰老等进行研究的活动；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（二）采用物理学、化学、生物学、中医药学、心理学等方法对人的生理、心理行为、病理现象、疾病病因和发病机制，以及疾病的预防、诊断、治疗和康复等进行研究的活动；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（三）采用新技术或者新产品在人体上进行试验研究的活动；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（四）采用流行病学、社会学、心理学等方法收集、记录、使用、报告或者储存有关人的涉及生命科学和医学问题的生物样本、信息数据（包括健康记录、行为等）等科学研究资料的活动。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第四条  伦理审查工作及相关人员应当遵守中华人民共和国宪法、法律和有关法规。涉及人的生命科学和医学研究应当尊重研究参与者，遵循有益、不伤害、公正的原则，保护隐私权及个人信息。</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center"/>
        <w:rPr>
          <w:rFonts w:ascii="仿宋" w:hAnsi="仿宋" w:eastAsia="仿宋" w:cs="仿宋"/>
          <w:b w:val="0"/>
          <w:bCs w:val="0"/>
          <w:color w:val="484848"/>
          <w:sz w:val="28"/>
          <w:szCs w:val="28"/>
        </w:rPr>
      </w:pPr>
      <w:r>
        <w:rPr>
          <w:rFonts w:hint="eastAsia" w:ascii="微软雅黑" w:hAnsi="微软雅黑" w:eastAsia="微软雅黑" w:cs="微软雅黑"/>
          <w:b w:val="0"/>
          <w:bCs w:val="0"/>
          <w:color w:val="484848"/>
          <w:sz w:val="28"/>
          <w:szCs w:val="28"/>
        </w:rPr>
        <w:t>第二章  伦理审查委员会</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第五条</w:t>
      </w:r>
      <w:r>
        <w:rPr>
          <w:rFonts w:hint="eastAsia" w:ascii="仿宋" w:hAnsi="仿宋" w:eastAsia="仿宋" w:cs="仿宋"/>
          <w:b w:val="0"/>
          <w:bCs w:val="0"/>
          <w:color w:val="484848"/>
          <w:sz w:val="28"/>
          <w:szCs w:val="28"/>
        </w:rPr>
        <w:t>  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第六条  机构应当采取有效措施、提供资源确保伦理审查委员会工作的独立性。</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七条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第八条  伦理审查委员会的委员应当从生命科学、医学、生命伦理学、法学等领域的专家和非本机构的社会人士中遴选产生，人数不得少于7人，并且应当有不同性别的委员，民族地区应当考虑少数民族委员。</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伦理审查委员会委员应当具备相应的伦理审查能力，定期接受生命科学和医学研究伦理知识及相关法律法规知识培训。</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必要时，伦理审查委员会可以聘请独立顾问，对所审查研究的特定问题提供专业咨询意见。独立顾问不参与表决，不得存在利益冲突。</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第九条  伦理审查委员会委员任期不超过5年，可以连任。伦理审查委员会设主任委员1人，副主任委员若干人，由伦理审查委员会委员协商推举或者选举产生，由机构任命。</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第十条  伦理审查委员会委员、独立顾问及其工作人员应当签署保密协议，承诺对伦理审查工作中获知的敏感信息履行保密义务。</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第十一条  伦理审查委员会应当接受所在机构的管理和研究参与者的监督。</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第十二条  伦理审查委员会应当建立伦理审查工作制度、标准操作规程，健全利益冲突管理机制和伦理审查质量控制机制，保证伦理审查过程独立、客观、公正。</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伦理审查委员会应预先制定疫情暴发等突发事件紧急情况下的伦理审查制度，明确审查时限。</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三条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伦理审查委员会备案材料包括：</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（一）人员组成名单和委员工作简历；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（二）伦理审查委员会章程；</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（三）工作制度或者相关工作规程；</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（四）备案机关要求提供的其他相关材料。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以上信息发生变化时，机构应当及时向备案机关更新信息。</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四条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省级卫生健康主管部门会同有关部门制定区域伦理审查委员会的建设和管理办法。区域伦理审查委员会向省级卫生健康主管部门备案，并在国家医学研究登记备案信息系统上传信息。</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center"/>
        <w:rPr>
          <w:rFonts w:ascii="仿宋" w:hAnsi="仿宋" w:eastAsia="仿宋" w:cs="仿宋"/>
          <w:b w:val="0"/>
          <w:bCs w:val="0"/>
          <w:color w:val="484848"/>
          <w:sz w:val="28"/>
          <w:szCs w:val="28"/>
        </w:rPr>
      </w:pPr>
      <w:r>
        <w:rPr>
          <w:rFonts w:hint="eastAsia" w:ascii="微软雅黑" w:hAnsi="微软雅黑" w:eastAsia="微软雅黑" w:cs="微软雅黑"/>
          <w:b w:val="0"/>
          <w:bCs w:val="0"/>
          <w:color w:val="484848"/>
          <w:sz w:val="28"/>
          <w:szCs w:val="28"/>
        </w:rPr>
        <w:t>第三章  伦理审查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第十五条  伦理审查一般采取伦理审查委员会会议审查的方式。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第十六条  伦理审查委员会应当要求研究者提供审查所需材料，并在受理后30天内开展伦理审查并出具审查意见。</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情况紧急的，应当及时开展伦理审查。在疫情暴发等突发事件紧急情况下，一般在72小时内开展伦理审查、出具审查意见，并不得降低伦理审查的要求和质量。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第十七条  涉及人的生命科学和医学研究应当具有科学价值和社会价值，不得违反国家相关法律法规，遵循国际公认的伦理准则，不得损害公共利益，并符合以下基本要求：</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（一）控制风险。研究的科学和社会利益不得超越对研究参与者人身安全与健康权益的考虑。研究风险受益比应当合理，使研究参与者可能受到的风险最小化；</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（三）公平公正。应当公平、合理地选择研究参与者，入选与排除标准具有明确的科学依据，公平合理分配研究受益、风险和负担；</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（六）特殊保护。对涉及儿童、孕产妇、老年人、智力障碍者、精神障碍者等特定群体的研究参与者，应当予以特别保护；对涉及受精卵、胚胎、胎儿或者可能受辅助生殖技术影响的，应当予以特别关注。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第十八条  涉及人的生命科学和医学研究的研究者在申请初始伦理审查时应当向伦理审查委员会提交下列材料：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（一）研究材料诚信承诺书；</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（二）伦理审查申请表；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（三）研究人员信息、研究所涉及的相关机构的合法资质证明以及研究经费来源说明；</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（四）研究方案、相关资料，包括文献综述、临床前研究和动物实验数据等资料；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（五）知情同意书；</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（六）生物样本、信息数据的来源证明；</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（七）科学性论证意见；</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（八）利益冲突申明；</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（九）招募广告及其发布形式；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（十）研究成果的发布形式说明；</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（十一）伦理审查委员会认为需要提交的其他相关材料。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第十九条  伦理审查委员会收到申请材料后，应当及时受理、组织初始审查。重点审查以下内容：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（一）研究是否违反法律法规、规章及有关规定的要求；</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（二）研究者的资格、经验、技术能力等是否符合研究要求；</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（三）研究方案是否科学、具有社会价值，并符合伦理原则的要求；中医药研究方案的审查，还应当考虑其传统实践经验；</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（四）研究参与者可能遭受的风险与研究预期的受益相比是否在合理范围之内；</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（五）知情同意书提供的有关信息是否充分、完整、易懂，获得知情同意的过程是否合规、恰当；</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（六）研究参与者个人信息及相关资料的保密措施是否充分；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（七）研究参与者招募方式、途径、纳入和排除标准是否恰当、公平；</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（八）是否向研究参与者明确告知其应当享有的权益，包括在研究过程中可以随时无理由退出且不会因此受到不公正对待的权利，告知退出研究后的影响、其他治疗方法等；</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（九）研究参与者参加研究的合理支出是否得到了适当补偿；研究参与者参加研究受到损害时，给予的治疗、补偿或者赔偿是否合理、合法；</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（十）是否有具备资格或者经培训后的研究者负责获取知情同意，并随时接受研究有关问题的咨询；</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（十一）对研究参与者在研究中可能承受的风险是否有预防和应对措施；</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（十二）研究是否涉及利益冲突；</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（十三）研究是否涉及社会敏感的伦理问题；</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（十四）研究结果是否发布，方式、时间是否恰当；</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（十五）需要审查的其他重点内容。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第二十条  与研究存在利益冲突的伦理审查委员会委员应当回避审查。伦理审查委员会应当要求与研究存在利益冲突的委员回避审查。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第二十一条  伦理审查委员会批准研究的基本标准是：</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（一）研究具有科学价值和社会价值,不违反法律法规的规定，不损害公共利益；</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（二）研究参与者权利得到尊重，隐私权和个人信息得到保护；</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（三）研究方案科学；</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（四）研究参与者的纳入和排除的标准科学而公平；</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（五）风险受益比合理，风险最小化；</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（六）知情同意规范、有效；</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（七）研究机构和研究者能够胜任；</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（八）研究结果发布方式、内容、时间合理；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（九）研究者遵守科研规范与诚信。</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第二十二条  伦理审查委员会可以对审查的研究作出批准、不批准、修改后批准、修改后再审、继续研究、暂停或者终止研究的决定，并应当说明理由。</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伦理审查委员会作出决定应当得到超过伦理审查委员会全体委员二分之一同意。委员应当对研究所涉及的伦理问题进行充分讨论后投票，与审查决定不一致的意见应当详细记录在案。</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第二十三条  经伦理审查委员会批准的研究需要修改研究方案、知情同意书、招募材料、提供给研究参与者的其他材料时，研究者应当将修改后的文件提交伦理审查委员会审查。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四条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国家卫生健康委应当不断优化国家医学研究登记备案信息系统。</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第二十五条  对已批准实施的研究，研究者应当按要求及时提交研究进展、严重不良事件，方案偏离、暂停、终止，研究完成等各类报告。</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伦理审查委员会应当按照研究者提交的相关报告进行跟踪审查。跟踪审查包括以下内容：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（一）是否按照已批准的研究方案进行研究并及时报告；</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（二）研究过程中是否擅自变更研究内容；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（三）是否增加研究参与者风险或者显著影响研究实施的变化或者新信息；</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（四）是否需要暂停或者提前终止研究；</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（五）其他需要审查的内容。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跟踪审查的时间间隔不超过12个月。</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六条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第二十七条  在多个机构开展的研究可以建立伦理审查协作机制，确保各机构遵循一致性和及时性原则。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牵头机构和参与机构均应当组织伦理审查。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参与机构的伦理审查委员会应当对本机构参与的研究进行跟踪审查。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八条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第二十九条  学术期刊在刊发涉及人的生命科学和医学研究成果时，应当确认该研究经过伦理审查委员会的批准。研究者应当提供相关证明。</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第三十条  伦理审查工作应当坚持独立性，任何机构和个人不得干预伦理审查委员会的伦理审查过程及审查决定。</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第三十一条  以下情形可以适用简易程序审查的方式：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（一）研究风险不大于最小风险的研究；</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（二）已批准的研究方案作较小修改且不影响研究风险受益比的研究；</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（三）已批准研究的跟踪审查；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（四）多机构开展的研究中，参与机构的伦理审查委员会对牵头机构出具伦理审查意见的确认等。</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简易程序审查由伦理审查委员会主任委员指定两个或者以上的委员进行伦理审查，并出具审查意见。审查意见应当在伦理审查委员会会议上报告。</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简易程序审查过程中，出现研究的风险受益比变化、审查委员之间意见不一致、审查委员提出需要会议审查等情形的，应调整为会议审查。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二条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（一）利用合法获得的公开数据，或者通过观察且不干扰公共行为产生的数据进行研究的；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（二）使用匿名化的信息数据开展研究的；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（四）使用生物样本库来源的人源细胞株或者细胞系等开展研究，研究相关内容和目的在提供方授权范围内，且不涉及人胚胎和生殖性克隆、嵌合、可遗传的基因操作等活动的。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center"/>
        <w:rPr>
          <w:rFonts w:ascii="仿宋" w:hAnsi="仿宋" w:eastAsia="仿宋" w:cs="仿宋"/>
          <w:b w:val="0"/>
          <w:bCs w:val="0"/>
          <w:color w:val="484848"/>
          <w:sz w:val="28"/>
          <w:szCs w:val="28"/>
        </w:rPr>
      </w:pPr>
      <w:r>
        <w:rPr>
          <w:rFonts w:hint="eastAsia" w:ascii="微软雅黑" w:hAnsi="微软雅黑" w:eastAsia="微软雅黑" w:cs="微软雅黑"/>
          <w:b w:val="0"/>
          <w:bCs w:val="0"/>
          <w:color w:val="484848"/>
          <w:sz w:val="28"/>
          <w:szCs w:val="28"/>
        </w:rPr>
        <w:t>第四章  知情同意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第三十三条  研究者开展研究前，应当获得研究参与者自愿签署的知情同意书。研究参与者不具备书面方式表示同意的能力时，研究者应当获得其口头知情同意，并有录音录像等过程记录和证明材料。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第三十五条  知情同意书应当包含充分、完整、准确的信息，并以研究参与者能够理解的语言文字、视频图像等进行表述。</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第三十六条  知情同意书应当包括以下内容：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（一）研究目的、基本研究内容、流程、方法及研究时限；</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（二）研究者基本信息及研究机构资质；</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（三）研究可能给研究参与者、相关人员和社会带来的益处，以及可能给研究参与者带来的不适和风险；</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（四）对研究参与者的保护措施；</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（五）研究数据和研究参与者个人资料的使用范围和方式，是否进行共享和二次利用，以及保密范围和措施；</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（六）研究参与者的权利，包括自愿参加和随时退出、知情、同意或者不同意、保密、补偿、受损害时获得免费治疗和补偿或者赔偿、新信息的获取、新版本知情同意书的再次签署、获得知情同意书等；</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（七）研究参与者在参与研究前、研究后和研究过程中的注意事项；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（八）研究者联系人和联系方式、伦理审查委员会联系人和联系方式、发生问题时的联系人和联系方式；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（九）研究的时间和研究参与者的人数；</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（十）研究结果是否会反馈研究参与者；</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（十一）告知研究参与者可能的替代治疗及其主要的受益和风险；</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（十二）涉及人的生物样本采集的，还应当包括生物样本的种类、数量、用途、保藏、利用（包括是否直接用于产品开发、共享和二次利用）、隐私保护、对外提供、销毁处理等相关内容。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第三十七条  在知情同意获取过程中，研究者应当按照知情同意书内容向研究参与者逐项说明。</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研究者应当给予研究参与者充分的时间理解知情同意书的内容，由研究参与者作出是否同意参加研究的决定并签署知情同意书。</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第三十八条  研究过程中发生下列情形时，研究者应当再次获取研究参与者的知情同意：</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（一）与研究参与者相关的研究内容发生实质性变化的；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（二）与研究相关的风险实质性提高或者增加的；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（三）研究参与者民事行为能力等级提高的。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center"/>
        <w:rPr>
          <w:rFonts w:ascii="仿宋" w:hAnsi="仿宋" w:eastAsia="仿宋" w:cs="仿宋"/>
          <w:b w:val="0"/>
          <w:bCs w:val="0"/>
          <w:color w:val="484848"/>
          <w:sz w:val="28"/>
          <w:szCs w:val="28"/>
        </w:rPr>
      </w:pPr>
      <w:r>
        <w:rPr>
          <w:rFonts w:hint="eastAsia" w:ascii="微软雅黑" w:hAnsi="微软雅黑" w:eastAsia="微软雅黑" w:cs="微软雅黑"/>
          <w:b w:val="0"/>
          <w:bCs w:val="0"/>
          <w:color w:val="484848"/>
          <w:sz w:val="28"/>
          <w:szCs w:val="28"/>
        </w:rPr>
        <w:t>第五章  监督管理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第三十九条  国家卫生健康委会同有关部门共同负责全国涉及人的生命科学和医学研究伦理审查的监督管理。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县级以上地方人民政府卫生健康、教育等部门依据职责分工负责本辖区涉及人的生命科学和医学研究伦理审查的监督管理。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主要监督检查以下内容：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（一）机构是否按照要求设立伦理审查委员会，并进行备案；</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（二）机构是否为伦理审查委员会提供充足经费，配备的专兼职工作人员、设备、场所及采取的有关措施是否可以保证伦理审查委员会独立开展工作；</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（三）伦理审查委员会是否建立健全利益冲突管理机制；</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（四）伦理审查委员会是否建立伦理审查制度；</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（五）伦理审查内容和程序是否符合要求；</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（六）审查的研究是否如实、及时在国家医学研究登记备案信息系统上传、更新信息；</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（七）伦理审查结果执行情况；</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（八）伦理审查文档管理情况；</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（九）伦理审查委员会委员的伦理培训、学习情况；</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（十）其他需要监督检查的相关内容。</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各级卫生健康主管部门应当与同级政府各相关部门建立有效机制，加强工作会商与信息沟通。</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条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一条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二条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第四十三条  任何单位或者个人均有权举报涉及人的生命科学和医学研究中存在的违反医学研究伦理、违法违规或者不端行为。</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四条  医疗卫生机构未按照规定设立伦理审查委员会或者未委托伦理审查委员会审查，擅自开展涉及人的生命科学和医学研究的，由县级以上地方卫生健康主管部门对有关机构和人员依法给予行政处罚和处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其他机构按照行政隶属关系，由其上级主管部门处理。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第四十五条  医疗卫生机构及其伦理审查委员会违反本办法规定，有下列情形之一的，由县级以上地方卫生健康主管部门对有关机构和人员依法给予行政处罚和处分：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（一）伦理审查委员会组成、委员资质不符合要求的；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（二）伦理审查委员会未建立利益冲突管理机制的；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（三）未建立伦理审查工作制度或者操作规程的；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（四）未按照伦理审查原则和相关规章制度进行审查的；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（五）泄露研究信息、研究参与者个人信息的；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（六）未按照规定进行备案、在国家医学研究登记备案信息系统上传信息的；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（七）未接受正式委托为其他机构出具伦理审查意见的；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（八）未督促研究者提交相关报告并开展跟踪审查的；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（九）其他违反本办法规定的情形。</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其他机构按照行政隶属关系，由其上级主管部门处理。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第四十六条  医疗卫生机构的研究者违反本办法规定，有下列情形之一的，由县级以上地方卫生健康主管部门对有关机构和人员依法给予行政处罚和处分：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（一）研究或者研究方案未获得伦理审查委员会审查批准擅自开展研究工作的；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（二）研究过程中发生严重不良反应或者严重不良事件未及时报告伦理审查委员会的；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（三）违反知情同意相关规定开展研究的；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（四）未及时提交相关研究报告的；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（五）未及时在国家医学研究登记备案信息系统上传信息的；</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（六）其他违反本办法规定的情形。</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其他机构按照行政隶属关系，由其上级主管部门处理。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第四十七条  机构、伦理审查委员会、研究者在开展涉及人的生命科学和医学研究工作中，违反法律法规要求的，按照相关法律法规进行处理。</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八条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第四十九条  机构和个人违反本办法规定，给他人人身、财产造成损害的，应当依法承担民事责任；构成犯罪的，依法追究刑事责任。</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 </w:t>
      </w:r>
    </w:p>
    <w:p>
      <w:pPr>
        <w:pStyle w:val="3"/>
        <w:widowControl/>
        <w:spacing w:beforeAutospacing="0" w:afterAutospacing="0" w:line="23" w:lineRule="atLeast"/>
        <w:ind w:firstLine="420"/>
        <w:jc w:val="center"/>
        <w:rPr>
          <w:rFonts w:ascii="仿宋" w:hAnsi="仿宋" w:eastAsia="仿宋" w:cs="仿宋"/>
          <w:b w:val="0"/>
          <w:bCs w:val="0"/>
          <w:color w:val="484848"/>
          <w:sz w:val="28"/>
          <w:szCs w:val="28"/>
        </w:rPr>
      </w:pPr>
      <w:r>
        <w:rPr>
          <w:rFonts w:hint="eastAsia" w:ascii="微软雅黑" w:hAnsi="微软雅黑" w:eastAsia="微软雅黑" w:cs="微软雅黑"/>
          <w:b w:val="0"/>
          <w:bCs w:val="0"/>
          <w:color w:val="484848"/>
          <w:sz w:val="28"/>
          <w:szCs w:val="28"/>
        </w:rPr>
        <w:t>第六章  附 则</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第五十条  本办法所称研究参与者包括人体研究的受试者，以及提供个人生物样本、信息数据、健康记录、行为等用于涉及人的生命科学和医学研究的个体。</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第五十一条  本办法所称人或者人的生物样本包括人体本身以及人的细胞、组织、器官、体液、菌群等和受精卵、胚胎、胎儿。</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五十二条  涉及国家秘密的，在提交伦理审查和获取研究参与者知情同意时应当进行脱密处理。无法进行脱密处理的，应当签署保密协议并加强管理。未经脱密处理的研究不得在国家医学研究登记备案信息系统上传。</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第五十三条 纳入科技伦理高风险科技活动清单的涉及人的生命科学和医学研究的伦理审查，还应当遵守国家关于科技伦理高风险科技活动伦理审查的相关要求。</w:t>
      </w:r>
    </w:p>
    <w:p>
      <w:pPr>
        <w:pStyle w:val="3"/>
        <w:widowControl/>
        <w:spacing w:beforeAutospacing="0" w:afterAutospacing="0" w:line="23" w:lineRule="atLeast"/>
        <w:ind w:firstLine="420"/>
        <w:jc w:val="both"/>
        <w:rPr>
          <w:rFonts w:ascii="仿宋" w:hAnsi="仿宋" w:eastAsia="仿宋" w:cs="仿宋"/>
          <w:b w:val="0"/>
          <w:bCs w:val="0"/>
          <w:color w:val="484848"/>
          <w:sz w:val="28"/>
          <w:szCs w:val="28"/>
        </w:rPr>
      </w:pPr>
      <w:r>
        <w:rPr>
          <w:rFonts w:hint="eastAsia" w:ascii="仿宋" w:hAnsi="仿宋" w:eastAsia="仿宋" w:cs="仿宋"/>
          <w:b w:val="0"/>
          <w:bCs w:val="0"/>
          <w:color w:val="484848"/>
          <w:sz w:val="28"/>
          <w:szCs w:val="28"/>
        </w:rPr>
        <w:t>第五十四条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pPr>
        <w:rPr>
          <w:b w:val="0"/>
          <w:bCs w:val="0"/>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TgxZmQwZmY3Yzk0OTQzN2QxMGRlN2Q3ZTA5MTcifQ=="/>
  </w:docVars>
  <w:rsids>
    <w:rsidRoot w:val="000E2579"/>
    <w:rsid w:val="000E2579"/>
    <w:rsid w:val="007B4E99"/>
    <w:rsid w:val="1349327E"/>
    <w:rsid w:val="3B18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uiPriority w:val="0"/>
    <w:pPr>
      <w:spacing w:beforeAutospacing="1" w:afterAutospacing="1"/>
      <w:jc w:val="left"/>
    </w:pPr>
    <w:rPr>
      <w:rFonts w:cs="Times New Roman"/>
      <w:kern w:val="0"/>
      <w:sz w:val="24"/>
    </w:rPr>
  </w:style>
  <w:style w:type="character" w:styleId="6">
    <w:name w:val="Hyperlink"/>
    <w:basedOn w:val="5"/>
    <w:uiPriority w:val="0"/>
    <w:rPr>
      <w:color w:val="0000FF"/>
      <w:u w:val="single"/>
    </w:rPr>
  </w:style>
  <w:style w:type="character" w:customStyle="1" w:styleId="7">
    <w:name w:val="批注框文本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qjjys/s7946/202302/c3374c180dc5489d85f95df5b46afaf5.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1409</Words>
  <Characters>8032</Characters>
  <Lines>66</Lines>
  <Paragraphs>18</Paragraphs>
  <TotalTime>2</TotalTime>
  <ScaleCrop>false</ScaleCrop>
  <LinksUpToDate>false</LinksUpToDate>
  <CharactersWithSpaces>9423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dc:creator>
  <cp:lastModifiedBy>筱</cp:lastModifiedBy>
  <cp:lastPrinted>2023-03-21T04:55:00Z</cp:lastPrinted>
  <dcterms:modified xsi:type="dcterms:W3CDTF">2023-12-15T01:30:37Z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EAA9EA546C9945568159E60663FE510F</vt:lpwstr>
  </property>
</Properties>
</file>